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5B5D77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402F4B" w:rsidP="008A787B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val="hr-HR"/>
        </w:rPr>
      </w:pPr>
      <w:r w:rsidRPr="00421C22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877CB9">
        <w:rPr>
          <w:rFonts w:ascii="Times New Roman" w:hAnsi="Times New Roman"/>
          <w:sz w:val="24"/>
          <w:szCs w:val="24"/>
          <w:lang w:val="hr-HR"/>
        </w:rPr>
        <w:t>910-04/15-</w:t>
      </w:r>
      <w:proofErr w:type="spellStart"/>
      <w:r w:rsidR="00877CB9">
        <w:rPr>
          <w:rFonts w:ascii="Times New Roman" w:hAnsi="Times New Roman"/>
          <w:sz w:val="24"/>
          <w:szCs w:val="24"/>
          <w:lang w:val="hr-HR"/>
        </w:rPr>
        <w:t>15</w:t>
      </w:r>
      <w:proofErr w:type="spellEnd"/>
      <w:r w:rsidR="00877CB9">
        <w:rPr>
          <w:rFonts w:ascii="Times New Roman" w:hAnsi="Times New Roman"/>
          <w:sz w:val="24"/>
          <w:szCs w:val="24"/>
          <w:lang w:val="hr-HR"/>
        </w:rPr>
        <w:t>/14</w:t>
      </w:r>
    </w:p>
    <w:p w:rsidR="00402F4B" w:rsidRPr="00421C22" w:rsidRDefault="00A74652" w:rsidP="008A787B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Ur.broj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: 50436-03/02-15</w:t>
      </w:r>
      <w:r w:rsidR="00402F4B" w:rsidRPr="00877CB9">
        <w:rPr>
          <w:rFonts w:ascii="Times New Roman" w:hAnsi="Times New Roman"/>
          <w:sz w:val="24"/>
          <w:szCs w:val="24"/>
          <w:lang w:val="hr-HR"/>
        </w:rPr>
        <w:t>-</w:t>
      </w:r>
      <w:r w:rsidR="00877CB9">
        <w:rPr>
          <w:rFonts w:ascii="Times New Roman" w:hAnsi="Times New Roman"/>
          <w:sz w:val="24"/>
          <w:szCs w:val="24"/>
          <w:lang w:val="hr-HR"/>
        </w:rPr>
        <w:t>08</w:t>
      </w:r>
    </w:p>
    <w:p w:rsidR="00402F4B" w:rsidRPr="00421C22" w:rsidRDefault="00402F4B" w:rsidP="008A787B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val="hr-HR"/>
        </w:rPr>
      </w:pPr>
      <w:r w:rsidRPr="00421C22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A74652">
        <w:rPr>
          <w:rFonts w:ascii="Times New Roman" w:hAnsi="Times New Roman"/>
          <w:sz w:val="24"/>
          <w:szCs w:val="24"/>
          <w:lang w:val="hr-HR"/>
        </w:rPr>
        <w:t>24. studenoga 2015</w:t>
      </w:r>
      <w:r w:rsidRPr="00421C22">
        <w:rPr>
          <w:rFonts w:ascii="Times New Roman" w:hAnsi="Times New Roman"/>
          <w:sz w:val="24"/>
          <w:szCs w:val="24"/>
          <w:lang w:val="hr-HR"/>
        </w:rPr>
        <w:t>.</w:t>
      </w:r>
    </w:p>
    <w:p w:rsidR="00402F4B" w:rsidRDefault="00402F4B" w:rsidP="008A787B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  <w:lang w:val="hr-HR"/>
        </w:rPr>
      </w:pPr>
      <w:r w:rsidRPr="00421C22">
        <w:rPr>
          <w:rFonts w:ascii="Times New Roman" w:hAnsi="Times New Roman"/>
          <w:b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b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b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b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b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402F4B" w:rsidRPr="00421C22" w:rsidRDefault="00A74652" w:rsidP="008A787B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- INTERNO-</w:t>
      </w:r>
      <w:r w:rsidR="00402F4B" w:rsidRPr="00421C22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</w:t>
      </w:r>
      <w:r w:rsidR="00402F4B" w:rsidRPr="00421C2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402F4B" w:rsidRPr="00421C22" w:rsidRDefault="00402F4B" w:rsidP="008A787B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02F4B" w:rsidRPr="00421C22" w:rsidRDefault="00402F4B" w:rsidP="008A787B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21C22">
        <w:rPr>
          <w:rFonts w:ascii="Times New Roman" w:hAnsi="Times New Roman"/>
          <w:b/>
          <w:sz w:val="24"/>
          <w:szCs w:val="24"/>
          <w:lang w:val="hr-HR"/>
        </w:rPr>
        <w:t xml:space="preserve">Bilješka </w:t>
      </w:r>
    </w:p>
    <w:p w:rsidR="00402F4B" w:rsidRDefault="00A74652" w:rsidP="008A787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o sudjelovanju na UNODC regionalnom seminaru za donositelje odluka na temu evaluacije učinkovitosti prevencije zlouporabe droga </w:t>
      </w:r>
    </w:p>
    <w:p w:rsidR="00402F4B" w:rsidRPr="00421C22" w:rsidRDefault="00A74652" w:rsidP="008A787B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Beograd, 19.-20</w:t>
      </w:r>
      <w:r w:rsidR="00402F4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studenoga 2015</w:t>
      </w:r>
      <w:r w:rsidR="00402F4B" w:rsidRPr="00421C22">
        <w:rPr>
          <w:rFonts w:ascii="Times New Roman" w:hAnsi="Times New Roman"/>
          <w:sz w:val="24"/>
          <w:szCs w:val="24"/>
          <w:lang w:val="hr-HR"/>
        </w:rPr>
        <w:t>.</w:t>
      </w:r>
    </w:p>
    <w:p w:rsidR="00402F4B" w:rsidRPr="00421C22" w:rsidRDefault="00402F4B" w:rsidP="008A787B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E15CE" w:rsidRPr="003C2A84" w:rsidRDefault="00A74652" w:rsidP="003C2A84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>U Beogradu je</w:t>
      </w:r>
      <w:r w:rsidR="00877CB9"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C2A84">
        <w:rPr>
          <w:rFonts w:ascii="Times New Roman" w:hAnsi="Times New Roman"/>
          <w:sz w:val="24"/>
          <w:szCs w:val="24"/>
          <w:lang w:val="hr-HR"/>
        </w:rPr>
        <w:t>u razdoblju od 19. do 20. studenoga 2015</w:t>
      </w:r>
      <w:r w:rsidR="00877CB9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E15CE" w:rsidRPr="003C2A84">
        <w:rPr>
          <w:rFonts w:ascii="Times New Roman" w:hAnsi="Times New Roman"/>
          <w:sz w:val="24"/>
          <w:szCs w:val="24"/>
          <w:lang w:val="hr-HR"/>
        </w:rPr>
        <w:t>u organizaciji UNODC</w:t>
      </w:r>
      <w:r w:rsidR="00877CB9" w:rsidRPr="003C2A84">
        <w:rPr>
          <w:rFonts w:ascii="Times New Roman" w:hAnsi="Times New Roman"/>
          <w:sz w:val="24"/>
          <w:szCs w:val="24"/>
          <w:lang w:val="hr-HR"/>
        </w:rPr>
        <w:t xml:space="preserve">-a održan regionalni seminar za donositelje odluka na temu evaluacije učinkovitosti prevencije zlouporabe droga. Na seminaru </w:t>
      </w:r>
      <w:r w:rsidR="001E15CE" w:rsidRPr="003C2A84">
        <w:rPr>
          <w:rFonts w:ascii="Times New Roman" w:hAnsi="Times New Roman"/>
          <w:sz w:val="24"/>
          <w:szCs w:val="24"/>
          <w:lang w:val="hr-HR"/>
        </w:rPr>
        <w:t>je sudjelovalo 12 sudionika -</w:t>
      </w:r>
      <w:r w:rsidR="00877CB9" w:rsidRPr="003C2A84">
        <w:rPr>
          <w:rFonts w:ascii="Times New Roman" w:hAnsi="Times New Roman"/>
          <w:sz w:val="24"/>
          <w:szCs w:val="24"/>
          <w:lang w:val="hr-HR"/>
        </w:rPr>
        <w:t xml:space="preserve"> predstavnika Srbije, Makedonije, Crne Gore, Bosne i Hercegovine te </w:t>
      </w:r>
      <w:r w:rsidR="001E15CE" w:rsidRPr="003C2A84">
        <w:rPr>
          <w:rFonts w:ascii="Times New Roman" w:hAnsi="Times New Roman"/>
          <w:sz w:val="24"/>
          <w:szCs w:val="24"/>
          <w:lang w:val="hr-HR"/>
        </w:rPr>
        <w:t xml:space="preserve">Republike </w:t>
      </w:r>
      <w:r w:rsidR="00877CB9" w:rsidRPr="003C2A84">
        <w:rPr>
          <w:rFonts w:ascii="Times New Roman" w:hAnsi="Times New Roman"/>
          <w:sz w:val="24"/>
          <w:szCs w:val="24"/>
          <w:lang w:val="hr-HR"/>
        </w:rPr>
        <w:t>Hrvatske</w:t>
      </w:r>
      <w:r w:rsidR="001E15CE" w:rsidRPr="003C2A84">
        <w:rPr>
          <w:rStyle w:val="Referencafusnote"/>
          <w:rFonts w:ascii="Times New Roman" w:hAnsi="Times New Roman"/>
          <w:sz w:val="24"/>
          <w:szCs w:val="24"/>
          <w:lang w:val="hr-HR"/>
        </w:rPr>
        <w:footnoteReference w:id="1"/>
      </w:r>
      <w:r w:rsidR="00877CB9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CE0191" w:rsidRDefault="001E15CE" w:rsidP="003C2A84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 xml:space="preserve">Uvodno su sudionike pozdravili g. Zoran Mihajlović, pomoćnik ministra zdravlja Republike Srbije, profesorica Zorana </w:t>
      </w:r>
      <w:proofErr w:type="spellStart"/>
      <w:r w:rsidRPr="003C2A84">
        <w:rPr>
          <w:rFonts w:ascii="Times New Roman" w:hAnsi="Times New Roman"/>
          <w:sz w:val="24"/>
          <w:szCs w:val="24"/>
          <w:lang w:val="hr-HR"/>
        </w:rPr>
        <w:t>Lužanin</w:t>
      </w:r>
      <w:proofErr w:type="spellEnd"/>
      <w:r w:rsidRPr="003C2A84">
        <w:rPr>
          <w:rFonts w:ascii="Times New Roman" w:hAnsi="Times New Roman"/>
          <w:sz w:val="24"/>
          <w:szCs w:val="24"/>
          <w:lang w:val="hr-HR"/>
        </w:rPr>
        <w:t>, predstavnica Ministarstva obrazovanja, znanosti i tehnološkog razvoja Republike Srbije te g. Miloš Stojanović, predstavnik UNODC Regionalnog ureda u Srbiji. Seminar je vodila i moderirala gđa. Hanna Heikkila, stručnjak za upravljanje programima Odjela za prevenciju, tretman i rehabilitaciju UNODC-a.</w:t>
      </w:r>
    </w:p>
    <w:p w:rsidR="00A023E5" w:rsidRPr="003C2A84" w:rsidRDefault="00CE0191" w:rsidP="003C2A84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>Na početku seminara sudionicima su predstavljeni Međunarodni standardi prevencije zlouporabe droga</w:t>
      </w:r>
      <w:r w:rsidRPr="003C2A84">
        <w:rPr>
          <w:rStyle w:val="Referencafusnote"/>
          <w:rFonts w:ascii="Times New Roman" w:hAnsi="Times New Roman"/>
          <w:sz w:val="24"/>
          <w:szCs w:val="24"/>
          <w:lang w:val="hr-HR"/>
        </w:rPr>
        <w:footnoteReference w:id="2"/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u kojima su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navedene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smjernice o učinkovitim preventivnim pristupima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u različitim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razvojnim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fazama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okruženjima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05E3F" w:rsidRPr="003C2A84">
        <w:rPr>
          <w:rFonts w:ascii="Times New Roman" w:hAnsi="Times New Roman"/>
          <w:sz w:val="24"/>
          <w:szCs w:val="24"/>
          <w:lang w:val="hr-HR"/>
        </w:rPr>
        <w:t xml:space="preserve">Potrebno je naglasiti da se standardi odnose na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prevenciju zlouporabe svih</w:t>
      </w:r>
      <w:r w:rsidR="00005E3F"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005E3F" w:rsidRPr="003C2A84">
        <w:rPr>
          <w:rFonts w:ascii="Times New Roman" w:hAnsi="Times New Roman"/>
          <w:sz w:val="24"/>
          <w:szCs w:val="24"/>
          <w:lang w:val="hr-HR"/>
        </w:rPr>
        <w:t>psihoakti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vnih</w:t>
      </w:r>
      <w:proofErr w:type="spellEnd"/>
      <w:r w:rsidR="00005E3F" w:rsidRPr="003C2A84">
        <w:rPr>
          <w:rFonts w:ascii="Times New Roman" w:hAnsi="Times New Roman"/>
          <w:sz w:val="24"/>
          <w:szCs w:val="24"/>
          <w:lang w:val="hr-HR"/>
        </w:rPr>
        <w:t xml:space="preserve"> tvari, a ne samo na prevenciju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 konzumiranja</w:t>
      </w:r>
      <w:r w:rsidR="00005E3F" w:rsidRPr="003C2A84">
        <w:rPr>
          <w:rFonts w:ascii="Times New Roman" w:hAnsi="Times New Roman"/>
          <w:sz w:val="24"/>
          <w:szCs w:val="24"/>
          <w:lang w:val="hr-HR"/>
        </w:rPr>
        <w:t xml:space="preserve"> ilegalnih droga.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UNODC osigurava d</w:t>
      </w:r>
      <w:r w:rsidRPr="003C2A84">
        <w:rPr>
          <w:rFonts w:ascii="Times New Roman" w:hAnsi="Times New Roman"/>
          <w:sz w:val="24"/>
          <w:szCs w:val="24"/>
          <w:lang w:val="hr-HR"/>
        </w:rPr>
        <w:t>iseminaciju standarda putem nacionalnih i regionalnih seminara za donositelje odluka, u okviru čega je obuhvaćeno pr</w:t>
      </w:r>
      <w:r w:rsidR="009678F8" w:rsidRPr="003C2A84">
        <w:rPr>
          <w:rFonts w:ascii="Times New Roman" w:hAnsi="Times New Roman"/>
          <w:sz w:val="24"/>
          <w:szCs w:val="24"/>
          <w:lang w:val="hr-HR"/>
        </w:rPr>
        <w:t xml:space="preserve">eko 200 sudionika iz 60 država. </w:t>
      </w:r>
    </w:p>
    <w:p w:rsidR="003C2A84" w:rsidRDefault="00A023E5" w:rsidP="003C2A84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 xml:space="preserve">Najčešći prepreke provedbi evaluacije tiču se nedostatnih financijskih sredstava, nejasno postavljenih ciljeva intervencije, nedostatne podrške različitih dionika, nejasnih prioriteta i slično. </w:t>
      </w:r>
      <w:r w:rsidR="009678F8" w:rsidRPr="003C2A84">
        <w:rPr>
          <w:rFonts w:ascii="Times New Roman" w:hAnsi="Times New Roman"/>
          <w:sz w:val="24"/>
          <w:szCs w:val="24"/>
          <w:lang w:val="hr-HR"/>
        </w:rPr>
        <w:t>Međutim, prevencija zlouporabe droga i drugih sredstava ovisnosti koja se temelji na znanstvenim dokazima učinkovitosti predstavlja učinkovito i financijski isplativo ulaganje u dobrobit različitih</w:t>
      </w:r>
      <w:r w:rsidR="002348B8" w:rsidRPr="003C2A84">
        <w:rPr>
          <w:rFonts w:ascii="Times New Roman" w:hAnsi="Times New Roman"/>
          <w:sz w:val="24"/>
          <w:szCs w:val="24"/>
          <w:lang w:val="hr-HR"/>
        </w:rPr>
        <w:t xml:space="preserve"> ciljanih skupina, stoga razvoj smjernica za donositelje odluka o tome kako evaluirati učinkovitost preventivnih intervencija predstavlja važno </w:t>
      </w:r>
      <w:r w:rsidRPr="003C2A84">
        <w:rPr>
          <w:rFonts w:ascii="Times New Roman" w:hAnsi="Times New Roman"/>
          <w:sz w:val="24"/>
          <w:szCs w:val="24"/>
          <w:lang w:val="hr-HR"/>
        </w:rPr>
        <w:t>područje u promicanju preventivne prakse</w:t>
      </w:r>
      <w:r w:rsidR="002348B8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681C06" w:rsidRPr="003C2A84" w:rsidRDefault="00005E3F" w:rsidP="003C2A84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lastRenderedPageBreak/>
        <w:t xml:space="preserve">Obzirom da je seminar namijenjen donositeljima odluka, potrebno je naglasiti kako naglasak nije bio na tome kako provoditi evaluaciju, već na promociju važnosti provedbe evaluacije učinka te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osiguravanja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podrške kulturi evaluacije. U tom kontekstu, osobit je naglasak bio na diskusiji o tome zbog čega je evaluacija učinka nužna i korisna, </w:t>
      </w:r>
      <w:r w:rsidR="00AD7E82" w:rsidRPr="003C2A84">
        <w:rPr>
          <w:rFonts w:ascii="Times New Roman" w:hAnsi="Times New Roman"/>
          <w:sz w:val="24"/>
          <w:szCs w:val="24"/>
          <w:lang w:val="hr-HR"/>
        </w:rPr>
        <w:t xml:space="preserve">koji oblik evaluacije je prikladan u kojim okolnostima, što je potrebno evaluirati i kada, tko bi trebao provoditi evaluaciju te na koji način je moguće podržati kulturu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provedbe </w:t>
      </w:r>
      <w:r w:rsidR="00AD7E82" w:rsidRPr="003C2A84">
        <w:rPr>
          <w:rFonts w:ascii="Times New Roman" w:hAnsi="Times New Roman"/>
          <w:sz w:val="24"/>
          <w:szCs w:val="24"/>
          <w:lang w:val="hr-HR"/>
        </w:rPr>
        <w:t>evaluacije</w:t>
      </w:r>
      <w:r w:rsidR="00EE487F" w:rsidRPr="003C2A84">
        <w:rPr>
          <w:rFonts w:ascii="Times New Roman" w:hAnsi="Times New Roman"/>
          <w:sz w:val="24"/>
          <w:szCs w:val="24"/>
          <w:lang w:val="hr-HR"/>
        </w:rPr>
        <w:t xml:space="preserve"> na nacionalnim razinama.</w:t>
      </w:r>
      <w:r w:rsidR="00977EC5"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E487F" w:rsidRPr="003C2A84">
        <w:rPr>
          <w:rFonts w:ascii="Times New Roman" w:hAnsi="Times New Roman"/>
          <w:sz w:val="24"/>
          <w:szCs w:val="24"/>
          <w:lang w:val="hr-HR"/>
        </w:rPr>
        <w:t xml:space="preserve">Informacije koje proizlaze iz provedene evaluacije vrijedne su čak i ukoliko ukažu na negativne rezultate određene intervencije, budući da doprinose spoznajama o tome u koje je intervencije isplativo ulagati financijska sredstva, odnosno na koji način se intervencije mogu unaprijediti. Također, važno je imati na umu činjenicu da zadovoljstvo korisnika ne daje informacije o učinkovitosti intervencije, već samo o provedenom procesu. Nadalje, ukoliko intervencija nije vrijedna provedbe evaluacije, pitanje je koja je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uopće </w:t>
      </w:r>
      <w:r w:rsidR="00EE487F" w:rsidRPr="003C2A84">
        <w:rPr>
          <w:rFonts w:ascii="Times New Roman" w:hAnsi="Times New Roman"/>
          <w:sz w:val="24"/>
          <w:szCs w:val="24"/>
          <w:lang w:val="hr-HR"/>
        </w:rPr>
        <w:t>svrha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 same intervencije</w:t>
      </w:r>
      <w:r w:rsidR="00EE487F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Kako bi se osigurala jednostavna i znanstveno-utemeljena provedba evaluacije, p</w:t>
      </w:r>
      <w:r w:rsidR="00B20A1A" w:rsidRPr="003C2A84">
        <w:rPr>
          <w:rFonts w:ascii="Times New Roman" w:hAnsi="Times New Roman"/>
          <w:sz w:val="24"/>
          <w:szCs w:val="24"/>
          <w:lang w:val="hr-HR"/>
        </w:rPr>
        <w:t xml:space="preserve">otrebno je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surađivati </w:t>
      </w:r>
      <w:r w:rsidR="00EE487F" w:rsidRPr="003C2A84">
        <w:rPr>
          <w:rFonts w:ascii="Times New Roman" w:hAnsi="Times New Roman"/>
          <w:sz w:val="24"/>
          <w:szCs w:val="24"/>
          <w:lang w:val="hr-HR"/>
        </w:rPr>
        <w:t>sa znanstvenicima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D51E4" w:rsidRPr="003C2A84">
        <w:rPr>
          <w:rFonts w:ascii="Times New Roman" w:hAnsi="Times New Roman"/>
          <w:sz w:val="24"/>
          <w:szCs w:val="24"/>
          <w:lang w:val="hr-HR"/>
        </w:rPr>
        <w:t xml:space="preserve">Neizostavno je spomenuti i etičke aspekte i činjenicu da je </w:t>
      </w:r>
      <w:r w:rsidR="000622AA" w:rsidRPr="003C2A84">
        <w:rPr>
          <w:rFonts w:ascii="Times New Roman" w:hAnsi="Times New Roman"/>
          <w:sz w:val="24"/>
          <w:szCs w:val="24"/>
          <w:lang w:val="hr-HR"/>
        </w:rPr>
        <w:t xml:space="preserve">evaluacija učinka </w:t>
      </w:r>
      <w:r w:rsidR="002D51E4" w:rsidRPr="003C2A84">
        <w:rPr>
          <w:rFonts w:ascii="Times New Roman" w:hAnsi="Times New Roman"/>
          <w:sz w:val="24"/>
          <w:szCs w:val="24"/>
          <w:lang w:val="hr-HR"/>
        </w:rPr>
        <w:t>j</w:t>
      </w:r>
      <w:r w:rsidR="000622AA" w:rsidRPr="003C2A84">
        <w:rPr>
          <w:rFonts w:ascii="Times New Roman" w:hAnsi="Times New Roman"/>
          <w:sz w:val="24"/>
          <w:szCs w:val="24"/>
          <w:lang w:val="hr-HR"/>
        </w:rPr>
        <w:t xml:space="preserve">edini način na koji možemo znati da intervencija ne proizvodi </w:t>
      </w:r>
      <w:proofErr w:type="spellStart"/>
      <w:r w:rsidR="000622AA" w:rsidRPr="003C2A84">
        <w:rPr>
          <w:rFonts w:ascii="Times New Roman" w:hAnsi="Times New Roman"/>
          <w:sz w:val="24"/>
          <w:szCs w:val="24"/>
          <w:lang w:val="hr-HR"/>
        </w:rPr>
        <w:t>jatrogene</w:t>
      </w:r>
      <w:proofErr w:type="spellEnd"/>
      <w:r w:rsidR="000622AA" w:rsidRPr="003C2A84">
        <w:rPr>
          <w:rFonts w:ascii="Times New Roman" w:hAnsi="Times New Roman"/>
          <w:sz w:val="24"/>
          <w:szCs w:val="24"/>
          <w:lang w:val="hr-HR"/>
        </w:rPr>
        <w:t xml:space="preserve"> učinke.</w:t>
      </w:r>
    </w:p>
    <w:p w:rsidR="00A023E5" w:rsidRPr="003C2A84" w:rsidRDefault="00A023E5" w:rsidP="003C2A84">
      <w:pPr>
        <w:spacing w:line="240" w:lineRule="auto"/>
        <w:ind w:left="-181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>Sukladno Europs</w:t>
      </w:r>
      <w:r w:rsidR="00681C06" w:rsidRPr="003C2A84">
        <w:rPr>
          <w:rFonts w:ascii="Times New Roman" w:hAnsi="Times New Roman"/>
          <w:sz w:val="24"/>
          <w:szCs w:val="24"/>
          <w:lang w:val="hr-HR"/>
        </w:rPr>
        <w:t>kim standardima kvalitetne prevencije zlouporabe droga (</w:t>
      </w:r>
      <w:proofErr w:type="spellStart"/>
      <w:r w:rsidR="00681C06" w:rsidRPr="003C2A84">
        <w:rPr>
          <w:rFonts w:ascii="Times New Roman" w:hAnsi="Times New Roman"/>
          <w:sz w:val="24"/>
          <w:szCs w:val="24"/>
          <w:lang w:val="hr-HR"/>
        </w:rPr>
        <w:t>eng</w:t>
      </w:r>
      <w:proofErr w:type="spellEnd"/>
      <w:r w:rsidR="00681C06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 w:rsidR="00681C06" w:rsidRPr="003C2A84">
        <w:rPr>
          <w:rFonts w:ascii="Times New Roman" w:hAnsi="Times New Roman"/>
          <w:i/>
          <w:sz w:val="24"/>
          <w:szCs w:val="24"/>
          <w:lang w:val="hr-HR"/>
        </w:rPr>
        <w:t>European</w:t>
      </w:r>
      <w:proofErr w:type="spellEnd"/>
      <w:r w:rsidR="00681C06" w:rsidRPr="003C2A84">
        <w:rPr>
          <w:rFonts w:ascii="Times New Roman" w:hAnsi="Times New Roman"/>
          <w:i/>
          <w:sz w:val="24"/>
          <w:szCs w:val="24"/>
          <w:lang w:val="hr-HR"/>
        </w:rPr>
        <w:t xml:space="preserve"> Drug Prevention </w:t>
      </w:r>
      <w:proofErr w:type="spellStart"/>
      <w:r w:rsidR="00681C06" w:rsidRPr="003C2A84">
        <w:rPr>
          <w:rFonts w:ascii="Times New Roman" w:hAnsi="Times New Roman"/>
          <w:i/>
          <w:sz w:val="24"/>
          <w:szCs w:val="24"/>
          <w:lang w:val="hr-HR"/>
        </w:rPr>
        <w:t>Quality</w:t>
      </w:r>
      <w:proofErr w:type="spellEnd"/>
      <w:r w:rsidR="00681C06" w:rsidRPr="003C2A84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681C06" w:rsidRPr="003C2A84">
        <w:rPr>
          <w:rFonts w:ascii="Times New Roman" w:hAnsi="Times New Roman"/>
          <w:i/>
          <w:sz w:val="24"/>
          <w:szCs w:val="24"/>
          <w:lang w:val="hr-HR"/>
        </w:rPr>
        <w:t>Standards</w:t>
      </w:r>
      <w:proofErr w:type="spellEnd"/>
      <w:r w:rsidR="00681C06" w:rsidRPr="003C2A84">
        <w:rPr>
          <w:rFonts w:ascii="Times New Roman" w:hAnsi="Times New Roman"/>
          <w:sz w:val="24"/>
          <w:szCs w:val="24"/>
          <w:lang w:val="hr-HR"/>
        </w:rPr>
        <w:t xml:space="preserve"> – EDPQS), naglašeno je kako praćenje i evaluacija predstavljaju ključne komponente </w:t>
      </w:r>
      <w:r w:rsidR="000E3FA8" w:rsidRPr="003C2A84">
        <w:rPr>
          <w:rFonts w:ascii="Times New Roman" w:hAnsi="Times New Roman"/>
          <w:sz w:val="24"/>
          <w:szCs w:val="24"/>
          <w:lang w:val="hr-HR"/>
        </w:rPr>
        <w:t>u osiguravanju kvalitetnog planiranja, implementacije te unaprjeđenja postojećih intervencija. Drugim riječima, evaluaciju je potrebno planirati istovremeno s planiranjem intervencije, a unaprjeđenje je moguće u svakoj fazi projektnog ciklusa. Postoje različite vrste evaluacije, stoga se razlikuju i informacije koje pojedini oblik evaluacije omogućava. Primjerice, informacije o tome kako je intervencija provedena olakšavaju razumijevanje preventivnih ishoda. Dakle, praćenje provedbe (</w:t>
      </w:r>
      <w:proofErr w:type="spellStart"/>
      <w:r w:rsidR="000E3FA8" w:rsidRPr="003C2A84">
        <w:rPr>
          <w:rFonts w:ascii="Times New Roman" w:hAnsi="Times New Roman"/>
          <w:sz w:val="24"/>
          <w:szCs w:val="24"/>
          <w:lang w:val="hr-HR"/>
        </w:rPr>
        <w:t>eng</w:t>
      </w:r>
      <w:proofErr w:type="spellEnd"/>
      <w:r w:rsidR="000E3FA8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 w:rsidR="000E3FA8" w:rsidRPr="003C2A84">
        <w:rPr>
          <w:rFonts w:ascii="Times New Roman" w:hAnsi="Times New Roman"/>
          <w:i/>
          <w:sz w:val="24"/>
          <w:szCs w:val="24"/>
          <w:lang w:val="hr-HR"/>
        </w:rPr>
        <w:t>monitoring</w:t>
      </w:r>
      <w:proofErr w:type="spellEnd"/>
      <w:r w:rsidR="000E3FA8" w:rsidRPr="003C2A84">
        <w:rPr>
          <w:rFonts w:ascii="Times New Roman" w:hAnsi="Times New Roman"/>
          <w:sz w:val="24"/>
          <w:szCs w:val="24"/>
          <w:lang w:val="hr-HR"/>
        </w:rPr>
        <w:t xml:space="preserve">) osigurava informacije o tome da li se intervencija implementira sukladno planu. Nadalje, studije izvedivosti se usmjeravaju na kratkoročne ciljeve te omogućavaju informacije o tome je li vrijedno ulagati dodatna sredstva u implementaciju i evaluaciju određene aktivnosti. Evaluacija učinka daje odgovor na pitanje je li strategija (intervencija, politika, projekt) 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>bila uspješna u postizanju postavljenih ciljeva, kao što su npr. smanjenje uporabe određenog sredstva ovisnosti, odgađanja pr</w:t>
      </w:r>
      <w:r w:rsidRPr="003C2A84">
        <w:rPr>
          <w:rFonts w:ascii="Times New Roman" w:hAnsi="Times New Roman"/>
          <w:sz w:val="24"/>
          <w:szCs w:val="24"/>
          <w:lang w:val="hr-HR"/>
        </w:rPr>
        <w:t>ve uporabe ili smanjenje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 xml:space="preserve"> negativnih učinaka konzumacije. Sukladno svemu navedenom, razlikuju se</w:t>
      </w:r>
      <w:r w:rsidR="00B20A1A" w:rsidRPr="003C2A84">
        <w:rPr>
          <w:rFonts w:ascii="Times New Roman" w:hAnsi="Times New Roman"/>
          <w:sz w:val="24"/>
          <w:szCs w:val="24"/>
          <w:lang w:val="hr-HR"/>
        </w:rPr>
        <w:t xml:space="preserve"> i evaluacijski dizajni. Primjerice, procesna evaluacija uključuje temeljne informacije poput obuhvata sudionika (broj, spol, </w:t>
      </w:r>
      <w:r w:rsidR="00D30614" w:rsidRPr="003C2A84">
        <w:rPr>
          <w:rFonts w:ascii="Times New Roman" w:hAnsi="Times New Roman"/>
          <w:sz w:val="24"/>
          <w:szCs w:val="24"/>
          <w:lang w:val="hr-HR"/>
        </w:rPr>
        <w:t xml:space="preserve">ukupan broj sudionika na početku i na kraju intervencije), vjernosti u provedbi intervencije (planirane </w:t>
      </w:r>
      <w:proofErr w:type="spellStart"/>
      <w:r w:rsidR="00D30614" w:rsidRPr="003C2A84">
        <w:rPr>
          <w:rFonts w:ascii="Times New Roman" w:hAnsi="Times New Roman"/>
          <w:sz w:val="24"/>
          <w:szCs w:val="24"/>
          <w:lang w:val="hr-HR"/>
        </w:rPr>
        <w:t>vs</w:t>
      </w:r>
      <w:proofErr w:type="spellEnd"/>
      <w:r w:rsidR="00D30614" w:rsidRPr="003C2A84">
        <w:rPr>
          <w:rFonts w:ascii="Times New Roman" w:hAnsi="Times New Roman"/>
          <w:sz w:val="24"/>
          <w:szCs w:val="24"/>
          <w:lang w:val="hr-HR"/>
        </w:rPr>
        <w:t xml:space="preserve">. odrađene sesije) te ukupnog troška u kontekstu novca i vremena. Nadalje, informacije o implementaciji temelje se na mjerenju prije i poslije intervencije, čime se dobivaju korisne informacije o procesnoj evaluaciji. Informacije o učinkovitosti intervencije u pravilu se temelje na mjerenju prije i poslije intervencije te usporedbi s rezultatima kontrolne skupine. Naime, kontrolna skupina predstavlja važan mehanizam kontrole potencijalnih medijator i /ili moderator varijabli te omogućava zaključivanje o 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>učincima koji su nastali</w:t>
      </w:r>
      <w:r w:rsidR="00D30614" w:rsidRPr="003C2A84">
        <w:rPr>
          <w:rFonts w:ascii="Times New Roman" w:hAnsi="Times New Roman"/>
          <w:sz w:val="24"/>
          <w:szCs w:val="24"/>
          <w:lang w:val="hr-HR"/>
        </w:rPr>
        <w:t xml:space="preserve"> pod utjecajem preventivne intervencije. Među najcjenjenijim dizajnima nalaze se </w:t>
      </w:r>
      <w:proofErr w:type="spellStart"/>
      <w:r w:rsidR="00D30614" w:rsidRPr="003C2A84">
        <w:rPr>
          <w:rFonts w:ascii="Times New Roman" w:hAnsi="Times New Roman"/>
          <w:sz w:val="24"/>
          <w:szCs w:val="24"/>
          <w:lang w:val="hr-HR"/>
        </w:rPr>
        <w:t>randomizirane</w:t>
      </w:r>
      <w:proofErr w:type="spellEnd"/>
      <w:r w:rsidR="00D30614" w:rsidRPr="003C2A84">
        <w:rPr>
          <w:rFonts w:ascii="Times New Roman" w:hAnsi="Times New Roman"/>
          <w:sz w:val="24"/>
          <w:szCs w:val="24"/>
          <w:lang w:val="hr-HR"/>
        </w:rPr>
        <w:t xml:space="preserve"> kontrolirane studije, budući da, u pravilu, složeniji evaluacijski dizajn upućuje na snažnije dokaze i zaključke o učinku intervencije.</w:t>
      </w:r>
      <w:r w:rsidR="000E3AD3" w:rsidRPr="003C2A84">
        <w:rPr>
          <w:rFonts w:ascii="Times New Roman" w:hAnsi="Times New Roman"/>
          <w:sz w:val="24"/>
          <w:szCs w:val="24"/>
          <w:lang w:val="hr-HR"/>
        </w:rPr>
        <w:t xml:space="preserve"> Koji evaluacijski dizajn je najprimjereniji ovisi i o tome da li se evaluira pojedini projekt/program, politika ili intervencija za koju se dodjelju</w:t>
      </w:r>
      <w:r w:rsidR="00E157E7" w:rsidRPr="003C2A84">
        <w:rPr>
          <w:rFonts w:ascii="Times New Roman" w:hAnsi="Times New Roman"/>
          <w:sz w:val="24"/>
          <w:szCs w:val="24"/>
          <w:lang w:val="hr-HR"/>
        </w:rPr>
        <w:t xml:space="preserve">ju nepovratna novčana sredstva. 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 xml:space="preserve">Kako bi se mogla provesti kvalitetna evaluacija, potrebno je jasno definirati logički model intervencije, budući da isti omogućava lakše razumijevanje odnosa između postavljenih ciljeva, provedenih aktivnosti, pokazatelja provedbe i kratkoročnih, srednjoročnih i dugoročnih ishoda. Važno je napomenuti kako se ishodi mogu različito definirati, pa se osim same konzumacije određenog </w:t>
      </w:r>
      <w:proofErr w:type="spellStart"/>
      <w:r w:rsidR="00641227" w:rsidRPr="003C2A84">
        <w:rPr>
          <w:rFonts w:ascii="Times New Roman" w:hAnsi="Times New Roman"/>
          <w:sz w:val="24"/>
          <w:szCs w:val="24"/>
          <w:lang w:val="hr-HR"/>
        </w:rPr>
        <w:t>psihoaktivnog</w:t>
      </w:r>
      <w:proofErr w:type="spellEnd"/>
      <w:r w:rsidR="00641227" w:rsidRPr="003C2A84">
        <w:rPr>
          <w:rFonts w:ascii="Times New Roman" w:hAnsi="Times New Roman"/>
          <w:sz w:val="24"/>
          <w:szCs w:val="24"/>
          <w:lang w:val="hr-HR"/>
        </w:rPr>
        <w:t xml:space="preserve"> sredstva (promjene u ponašanju), najčešće mjere medijator varijable i  kratkoročni ishodi, poput primjerice podizanja razine znanja o određenom problemu, podizanja razine svjesnosti, unaprjeđenja kompetencija i vještina</w:t>
      </w:r>
      <w:r w:rsidR="00F85BC2" w:rsidRPr="003C2A84">
        <w:rPr>
          <w:rFonts w:ascii="Times New Roman" w:hAnsi="Times New Roman"/>
          <w:sz w:val="24"/>
          <w:szCs w:val="24"/>
          <w:lang w:val="hr-HR"/>
        </w:rPr>
        <w:t xml:space="preserve"> te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 xml:space="preserve"> promjene stavova. Nadalje, važno je 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lastRenderedPageBreak/>
        <w:t xml:space="preserve">jasno definirati teoriju promjene, odnosno razumjeti </w:t>
      </w:r>
      <w:r w:rsidR="00F85BC2" w:rsidRPr="003C2A84">
        <w:rPr>
          <w:rFonts w:ascii="Times New Roman" w:hAnsi="Times New Roman"/>
          <w:sz w:val="24"/>
          <w:szCs w:val="24"/>
          <w:lang w:val="hr-HR"/>
        </w:rPr>
        <w:t>koje aktivnosti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 xml:space="preserve"> vode do </w:t>
      </w:r>
      <w:r w:rsidR="00F85BC2" w:rsidRPr="003C2A84">
        <w:rPr>
          <w:rFonts w:ascii="Times New Roman" w:hAnsi="Times New Roman"/>
          <w:sz w:val="24"/>
          <w:szCs w:val="24"/>
          <w:lang w:val="hr-HR"/>
        </w:rPr>
        <w:t xml:space="preserve">kratkoročnih </w:t>
      </w:r>
      <w:r w:rsidR="00641227" w:rsidRPr="003C2A84">
        <w:rPr>
          <w:rFonts w:ascii="Times New Roman" w:hAnsi="Times New Roman"/>
          <w:sz w:val="24"/>
          <w:szCs w:val="24"/>
          <w:lang w:val="hr-HR"/>
        </w:rPr>
        <w:t xml:space="preserve">promjena, odnosno do </w:t>
      </w:r>
      <w:r w:rsidR="00F85BC2" w:rsidRPr="003C2A84">
        <w:rPr>
          <w:rFonts w:ascii="Times New Roman" w:hAnsi="Times New Roman"/>
          <w:sz w:val="24"/>
          <w:szCs w:val="24"/>
          <w:lang w:val="hr-HR"/>
        </w:rPr>
        <w:t xml:space="preserve">dugoročnih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ishoda. </w:t>
      </w:r>
      <w:r w:rsidR="00F85BC2" w:rsidRPr="003C2A84">
        <w:rPr>
          <w:rFonts w:ascii="Times New Roman" w:hAnsi="Times New Roman"/>
          <w:sz w:val="24"/>
          <w:szCs w:val="24"/>
          <w:lang w:val="hr-HR"/>
        </w:rPr>
        <w:t>Naglašena je važnost uključenosti različitih dionika u implementaciju i evaluaciju aktivnosti, osobito suradnja vladinog, nevladinog sektora i znanstvenika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3C2A84" w:rsidRPr="003C2A84" w:rsidRDefault="00F85BC2" w:rsidP="003C2A84">
      <w:pPr>
        <w:spacing w:line="240" w:lineRule="auto"/>
        <w:ind w:left="-181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 xml:space="preserve">Tijekom oba dana seminara u malim grupama se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uvježbavalo prezentirano kroz nacionalne prikaze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 slučaja.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Republika Hrvatska predstavila je </w:t>
      </w:r>
      <w:r w:rsidRPr="003C2A84">
        <w:rPr>
          <w:rFonts w:ascii="Times New Roman" w:hAnsi="Times New Roman"/>
          <w:b/>
          <w:i/>
          <w:sz w:val="24"/>
          <w:szCs w:val="24"/>
          <w:lang w:val="hr-HR"/>
        </w:rPr>
        <w:t>projekt unaprjeđenja kvalitete programa prevencije ovisnosti o drogama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koji se provodio u razdoblju od 2011. do 2014. godine. Projekt se sastoji od niza međusobno povez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>a</w:t>
      </w:r>
      <w:r w:rsidRPr="003C2A84">
        <w:rPr>
          <w:rFonts w:ascii="Times New Roman" w:hAnsi="Times New Roman"/>
          <w:sz w:val="24"/>
          <w:szCs w:val="24"/>
          <w:lang w:val="hr-HR"/>
        </w:rPr>
        <w:t>nih aktivnosti i kao jedinstven primjer dobre prakse je prepoznat od strane EDPQS partnerstva</w:t>
      </w:r>
      <w:r w:rsidR="00A023E5" w:rsidRPr="003C2A8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A023E5" w:rsidRPr="003C2A84">
          <w:rPr>
            <w:rStyle w:val="Hiperveza"/>
            <w:rFonts w:ascii="Times New Roman" w:hAnsi="Times New Roman"/>
            <w:sz w:val="24"/>
            <w:szCs w:val="24"/>
            <w:lang w:val="hr-HR"/>
          </w:rPr>
          <w:t>http://prevention-standards.eu/wp-content/uploads/2015/03/EDPQS_Toolkit4_Example_projects.pdf</w:t>
        </w:r>
      </w:hyperlink>
      <w:r w:rsidR="00A023E5" w:rsidRPr="003C2A84">
        <w:rPr>
          <w:rFonts w:ascii="Times New Roman" w:hAnsi="Times New Roman"/>
          <w:sz w:val="24"/>
          <w:szCs w:val="24"/>
          <w:lang w:val="hr-HR"/>
        </w:rPr>
        <w:t>, str.9)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, te je pohvaljen i od 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UNODC-a. Prilikom predstavljanja projekta </w:t>
      </w:r>
      <w:r w:rsidRPr="003C2A84">
        <w:rPr>
          <w:rFonts w:ascii="Times New Roman" w:hAnsi="Times New Roman"/>
          <w:sz w:val="24"/>
          <w:szCs w:val="24"/>
          <w:lang w:val="hr-HR"/>
        </w:rPr>
        <w:t>naglašena je važnost istovremen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>e primjene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pristupa „odozdo prema gore“ i „odozgo prema dolje“ na način da je potrebno, u suradnji sa znanstvenicima iz područja prevencijske znanosti, ulagati napore u educiranje provoditelja p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>rograma;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povezivati kriterije kvalitete i financiranje na način da se osigura financijska podrška kvalitetnih, evaluiranih te učinkovitih preventivnih intervencija; </w:t>
      </w:r>
      <w:r w:rsidRPr="003C2A84">
        <w:rPr>
          <w:rFonts w:ascii="Times New Roman" w:hAnsi="Times New Roman"/>
          <w:sz w:val="24"/>
          <w:szCs w:val="24"/>
          <w:lang w:val="hr-HR"/>
        </w:rPr>
        <w:t>pratiti unaprjeđenje postojećih i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ntervencija </w:t>
      </w:r>
      <w:r w:rsidRPr="003C2A84">
        <w:rPr>
          <w:rFonts w:ascii="Times New Roman" w:hAnsi="Times New Roman"/>
          <w:sz w:val="24"/>
          <w:szCs w:val="24"/>
          <w:lang w:val="hr-HR"/>
        </w:rPr>
        <w:t>(uvidom u Bazu programa prevencije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 ovisnosti); </w:t>
      </w:r>
      <w:r w:rsidR="00A023E5" w:rsidRPr="003C2A84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promovirati diseminaciju najboljih praksi dodjelom certifikata kvalitete od strane povjerenstva koje se sastoji od istaknutih stručnjaka i znanstvenika iz područja prevencije. </w:t>
      </w:r>
      <w:r w:rsidR="00991957" w:rsidRPr="003C2A84">
        <w:rPr>
          <w:rFonts w:ascii="Times New Roman" w:hAnsi="Times New Roman"/>
          <w:b/>
          <w:i/>
          <w:sz w:val="24"/>
          <w:szCs w:val="24"/>
          <w:lang w:val="hr-HR"/>
        </w:rPr>
        <w:t xml:space="preserve">Iako se projekt nije provodio tijekom 2015. godine, s obzirom na postignute pozitivne promjene u nacionalnoj prevencijskoj praksi te interes međunarodne zajednice </w:t>
      </w:r>
      <w:proofErr w:type="spellStart"/>
      <w:r w:rsidR="00991957" w:rsidRPr="003C2A84">
        <w:rPr>
          <w:rFonts w:ascii="Times New Roman" w:hAnsi="Times New Roman"/>
          <w:b/>
          <w:i/>
          <w:sz w:val="24"/>
          <w:szCs w:val="24"/>
          <w:lang w:val="hr-HR"/>
        </w:rPr>
        <w:t>prevencionista</w:t>
      </w:r>
      <w:proofErr w:type="spellEnd"/>
      <w:r w:rsidR="00991957" w:rsidRPr="003C2A84">
        <w:rPr>
          <w:rFonts w:ascii="Times New Roman" w:hAnsi="Times New Roman"/>
          <w:b/>
          <w:i/>
          <w:sz w:val="24"/>
          <w:szCs w:val="24"/>
          <w:lang w:val="hr-HR"/>
        </w:rPr>
        <w:t xml:space="preserve">, u sljedećoj godini potrebno je osigurati resurse za nastavak projekta. </w:t>
      </w:r>
    </w:p>
    <w:p w:rsidR="00005E3F" w:rsidRPr="003C2A84" w:rsidRDefault="00E157E7" w:rsidP="003C2A84">
      <w:pPr>
        <w:spacing w:line="240" w:lineRule="auto"/>
        <w:ind w:left="-181"/>
        <w:jc w:val="both"/>
        <w:rPr>
          <w:rFonts w:ascii="Times New Roman" w:hAnsi="Times New Roman"/>
          <w:sz w:val="24"/>
          <w:szCs w:val="24"/>
          <w:lang w:val="hr-HR"/>
        </w:rPr>
      </w:pPr>
      <w:r w:rsidRPr="003C2A84">
        <w:rPr>
          <w:rFonts w:ascii="Times New Roman" w:hAnsi="Times New Roman"/>
          <w:sz w:val="24"/>
          <w:szCs w:val="24"/>
          <w:lang w:val="hr-HR"/>
        </w:rPr>
        <w:t>Posljednjeg dana seminara pokrenuta je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 regionalna inicij</w:t>
      </w:r>
      <w:r w:rsidR="00F63906">
        <w:rPr>
          <w:rFonts w:ascii="Times New Roman" w:hAnsi="Times New Roman"/>
          <w:sz w:val="24"/>
          <w:szCs w:val="24"/>
          <w:lang w:val="hr-HR"/>
        </w:rPr>
        <w:t>ativa za formiranje</w:t>
      </w:r>
      <w:bookmarkStart w:id="0" w:name="_GoBack"/>
      <w:bookmarkEnd w:id="0"/>
      <w:r w:rsidRPr="003C2A84">
        <w:rPr>
          <w:rFonts w:ascii="Times New Roman" w:hAnsi="Times New Roman"/>
          <w:sz w:val="24"/>
          <w:szCs w:val="24"/>
          <w:lang w:val="hr-HR"/>
        </w:rPr>
        <w:t xml:space="preserve"> Radne skupine na regionalnoj razini kojoj bi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 cilj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bio 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unaprjeđenje i održivost provedbe preventivnih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intervencija 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u zemljama regije, a pod pokroviteljstvom UNODC-a. Sudionici seminara podržali su inicijativu (u prilogu). Potrebno je napomenuti </w:t>
      </w:r>
      <w:r w:rsidRPr="003C2A84">
        <w:rPr>
          <w:rFonts w:ascii="Times New Roman" w:hAnsi="Times New Roman"/>
          <w:sz w:val="24"/>
          <w:szCs w:val="24"/>
          <w:lang w:val="hr-HR"/>
        </w:rPr>
        <w:t xml:space="preserve">kako je regija prepoznala napore Republike Hrvatske te su istaknuli ulogu koju Hrvatska, kao članica Europske unije, može imati u osiguravanju podrške, smjernica i dijeljenju iskustava sa susjednim zemljama.  </w:t>
      </w:r>
      <w:r w:rsidR="00991957" w:rsidRPr="003C2A8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E157E7" w:rsidRPr="003C2A84" w:rsidRDefault="00E157E7" w:rsidP="003C2A84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157E7" w:rsidRDefault="00E157E7" w:rsidP="00E157E7">
      <w:pPr>
        <w:ind w:left="-18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E157E7">
        <w:rPr>
          <w:rFonts w:ascii="Times New Roman" w:hAnsi="Times New Roman"/>
          <w:i/>
          <w:sz w:val="24"/>
          <w:szCs w:val="24"/>
          <w:lang w:val="hr-HR"/>
        </w:rPr>
        <w:t>Prilog: kao u tekstu.</w:t>
      </w:r>
    </w:p>
    <w:p w:rsidR="003C2A84" w:rsidRDefault="003C2A84" w:rsidP="00E157E7">
      <w:pPr>
        <w:ind w:left="-180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3C2A84" w:rsidRPr="00E157E7" w:rsidRDefault="003C2A84" w:rsidP="00E157E7">
      <w:pPr>
        <w:ind w:left="-180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402F4B" w:rsidRPr="00421C22" w:rsidRDefault="00402F4B" w:rsidP="008A787B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 w:rsidRPr="00421C22">
        <w:rPr>
          <w:rFonts w:ascii="Times New Roman" w:hAnsi="Times New Roman"/>
          <w:sz w:val="24"/>
          <w:szCs w:val="24"/>
          <w:lang w:val="hr-HR"/>
        </w:rPr>
        <w:t xml:space="preserve">Izradila: </w:t>
      </w:r>
      <w:r w:rsidRPr="00421C22">
        <w:rPr>
          <w:rFonts w:ascii="Times New Roman" w:hAnsi="Times New Roman"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sz w:val="24"/>
          <w:szCs w:val="24"/>
          <w:lang w:val="hr-HR"/>
        </w:rPr>
        <w:tab/>
      </w:r>
      <w:r w:rsidRPr="00421C22">
        <w:rPr>
          <w:rFonts w:ascii="Times New Roman" w:hAnsi="Times New Roman"/>
          <w:sz w:val="24"/>
          <w:szCs w:val="24"/>
          <w:lang w:val="hr-HR"/>
        </w:rPr>
        <w:tab/>
      </w:r>
      <w:r w:rsidR="00A74652"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Pr="00421C22">
        <w:rPr>
          <w:rFonts w:ascii="Times New Roman" w:hAnsi="Times New Roman"/>
          <w:sz w:val="24"/>
          <w:szCs w:val="24"/>
          <w:lang w:val="hr-HR"/>
        </w:rPr>
        <w:t>Odobrio:</w:t>
      </w:r>
    </w:p>
    <w:p w:rsidR="00402F4B" w:rsidRPr="00421C22" w:rsidRDefault="00402F4B" w:rsidP="008A787B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2F4B" w:rsidRPr="00421C22" w:rsidRDefault="00A74652" w:rsidP="008A787B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Dijana Jerković, viša stručna savjetnica</w:t>
      </w:r>
      <w:r w:rsidR="00402F4B" w:rsidRPr="00421C22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02F4B" w:rsidRPr="00421C22">
        <w:rPr>
          <w:rFonts w:ascii="Times New Roman" w:hAnsi="Times New Roman"/>
          <w:sz w:val="24"/>
          <w:szCs w:val="24"/>
          <w:lang w:val="hr-HR"/>
        </w:rPr>
        <w:tab/>
      </w:r>
      <w:r w:rsidR="00402F4B" w:rsidRPr="00421C22">
        <w:rPr>
          <w:rFonts w:ascii="Times New Roman" w:hAnsi="Times New Roman"/>
          <w:sz w:val="24"/>
          <w:szCs w:val="24"/>
          <w:lang w:val="hr-HR"/>
        </w:rPr>
        <w:tab/>
      </w:r>
      <w:r w:rsidR="00402F4B">
        <w:rPr>
          <w:rFonts w:ascii="Times New Roman" w:hAnsi="Times New Roman"/>
          <w:sz w:val="24"/>
          <w:szCs w:val="24"/>
          <w:lang w:val="hr-HR"/>
        </w:rPr>
        <w:t>Željk</w:t>
      </w:r>
      <w:r w:rsidR="00402F4B" w:rsidRPr="00421C22">
        <w:rPr>
          <w:rFonts w:ascii="Times New Roman" w:hAnsi="Times New Roman"/>
          <w:sz w:val="24"/>
          <w:szCs w:val="24"/>
          <w:lang w:val="hr-HR"/>
        </w:rPr>
        <w:t>o Petković, ravnatelj Ureda</w:t>
      </w:r>
    </w:p>
    <w:sectPr w:rsidR="00402F4B" w:rsidRPr="00421C22" w:rsidSect="003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E0" w:rsidRDefault="007A3CE0" w:rsidP="00F16301">
      <w:pPr>
        <w:spacing w:after="0" w:line="240" w:lineRule="auto"/>
      </w:pPr>
      <w:r>
        <w:separator/>
      </w:r>
    </w:p>
  </w:endnote>
  <w:endnote w:type="continuationSeparator" w:id="0">
    <w:p w:rsidR="007A3CE0" w:rsidRDefault="007A3CE0" w:rsidP="00F1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E0" w:rsidRDefault="007A3CE0" w:rsidP="00F16301">
      <w:pPr>
        <w:spacing w:after="0" w:line="240" w:lineRule="auto"/>
      </w:pPr>
      <w:r>
        <w:separator/>
      </w:r>
    </w:p>
  </w:footnote>
  <w:footnote w:type="continuationSeparator" w:id="0">
    <w:p w:rsidR="007A3CE0" w:rsidRDefault="007A3CE0" w:rsidP="00F16301">
      <w:pPr>
        <w:spacing w:after="0" w:line="240" w:lineRule="auto"/>
      </w:pPr>
      <w:r>
        <w:continuationSeparator/>
      </w:r>
    </w:p>
  </w:footnote>
  <w:footnote w:id="1">
    <w:p w:rsidR="001E15CE" w:rsidRPr="00CE0191" w:rsidRDefault="001E15CE" w:rsidP="001E15CE">
      <w:pPr>
        <w:pStyle w:val="Tekstfusnote"/>
        <w:jc w:val="both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1E15CE">
        <w:rPr>
          <w:rFonts w:ascii="Times New Roman" w:hAnsi="Times New Roman"/>
          <w:lang w:val="hr-HR"/>
        </w:rPr>
        <w:t>Obzirom da je Republika Hrvatska od 2011. godine</w:t>
      </w:r>
      <w:r>
        <w:rPr>
          <w:rFonts w:ascii="Times New Roman" w:hAnsi="Times New Roman"/>
          <w:lang w:val="hr-HR"/>
        </w:rPr>
        <w:t>, u suradnji Ureda za suzbijanje zlouporabe droga i Edukacijsko-rehabilitacijskog fakulteta Sveučilišta u Zagrebu,</w:t>
      </w:r>
      <w:r w:rsidRPr="001E15CE">
        <w:rPr>
          <w:rFonts w:ascii="Times New Roman" w:hAnsi="Times New Roman"/>
          <w:lang w:val="hr-HR"/>
        </w:rPr>
        <w:t xml:space="preserve"> ulagala napore u unaprjeđenje kvalitete programa prevencije ovisnosti o drogama, na seminaru su sudjelovali </w:t>
      </w:r>
      <w:r w:rsidR="00CE0191">
        <w:rPr>
          <w:rFonts w:ascii="Times New Roman" w:hAnsi="Times New Roman"/>
          <w:lang w:val="hr-HR"/>
        </w:rPr>
        <w:t xml:space="preserve">gđa. </w:t>
      </w:r>
      <w:r w:rsidRPr="001E15CE">
        <w:rPr>
          <w:rFonts w:ascii="Times New Roman" w:hAnsi="Times New Roman"/>
          <w:lang w:val="hr-HR"/>
        </w:rPr>
        <w:t>Dijana Jerković, predstavnica Ureda za suzbijanje zloupora</w:t>
      </w:r>
      <w:r w:rsidR="00CE0191">
        <w:rPr>
          <w:rFonts w:ascii="Times New Roman" w:hAnsi="Times New Roman"/>
          <w:lang w:val="hr-HR"/>
        </w:rPr>
        <w:t xml:space="preserve">be droga Vlade RH te doc.dr.sc. </w:t>
      </w:r>
      <w:r w:rsidRPr="001E15CE">
        <w:rPr>
          <w:rFonts w:ascii="Times New Roman" w:hAnsi="Times New Roman"/>
          <w:lang w:val="hr-HR"/>
        </w:rPr>
        <w:t xml:space="preserve">Valentina </w:t>
      </w:r>
      <w:proofErr w:type="spellStart"/>
      <w:r w:rsidRPr="001E15CE">
        <w:rPr>
          <w:rFonts w:ascii="Times New Roman" w:hAnsi="Times New Roman"/>
          <w:lang w:val="hr-HR"/>
        </w:rPr>
        <w:t>Kranželić</w:t>
      </w:r>
      <w:proofErr w:type="spellEnd"/>
      <w:r w:rsidRPr="001E15CE">
        <w:rPr>
          <w:rFonts w:ascii="Times New Roman" w:hAnsi="Times New Roman"/>
          <w:lang w:val="hr-HR"/>
        </w:rPr>
        <w:t>, predstavnica Edukacijsko-</w:t>
      </w:r>
      <w:r w:rsidRPr="00CE0191">
        <w:rPr>
          <w:rFonts w:ascii="Times New Roman" w:hAnsi="Times New Roman"/>
          <w:lang w:val="hr-HR"/>
        </w:rPr>
        <w:t xml:space="preserve">rehabilitacijskog fakulteta Sveučilišta u Zagrebu.  </w:t>
      </w:r>
    </w:p>
  </w:footnote>
  <w:footnote w:id="2">
    <w:p w:rsidR="00CE0191" w:rsidRPr="00CE0191" w:rsidRDefault="00CE0191">
      <w:pPr>
        <w:pStyle w:val="Tekstfusnote"/>
        <w:rPr>
          <w:lang w:val="hr-HR"/>
        </w:rPr>
      </w:pPr>
      <w:r w:rsidRPr="00CE0191">
        <w:rPr>
          <w:rStyle w:val="Referencafusnote"/>
          <w:rFonts w:ascii="Times New Roman" w:hAnsi="Times New Roman"/>
        </w:rPr>
        <w:footnoteRef/>
      </w:r>
      <w:r w:rsidRPr="00CE01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UNODC (2013</w:t>
      </w:r>
      <w:r w:rsidRPr="00CE0191">
        <w:rPr>
          <w:rFonts w:ascii="Times New Roman" w:hAnsi="Times New Roman"/>
          <w:lang w:val="hr-HR"/>
        </w:rPr>
        <w:t xml:space="preserve">). </w:t>
      </w:r>
      <w:proofErr w:type="spellStart"/>
      <w:r w:rsidRPr="00977EC5">
        <w:rPr>
          <w:rFonts w:ascii="Times New Roman" w:hAnsi="Times New Roman"/>
          <w:i/>
          <w:lang w:val="hr-HR"/>
        </w:rPr>
        <w:t>International</w:t>
      </w:r>
      <w:proofErr w:type="spellEnd"/>
      <w:r w:rsidRPr="00977EC5">
        <w:rPr>
          <w:rFonts w:ascii="Times New Roman" w:hAnsi="Times New Roman"/>
          <w:i/>
          <w:lang w:val="hr-HR"/>
        </w:rPr>
        <w:t xml:space="preserve"> </w:t>
      </w:r>
      <w:proofErr w:type="spellStart"/>
      <w:r w:rsidRPr="00977EC5">
        <w:rPr>
          <w:rFonts w:ascii="Times New Roman" w:hAnsi="Times New Roman"/>
          <w:i/>
          <w:lang w:val="hr-HR"/>
        </w:rPr>
        <w:t>Standards</w:t>
      </w:r>
      <w:proofErr w:type="spellEnd"/>
      <w:r w:rsidRPr="00977EC5">
        <w:rPr>
          <w:rFonts w:ascii="Times New Roman" w:hAnsi="Times New Roman"/>
          <w:i/>
          <w:lang w:val="hr-HR"/>
        </w:rPr>
        <w:t xml:space="preserve"> on Drug </w:t>
      </w:r>
      <w:proofErr w:type="spellStart"/>
      <w:r w:rsidRPr="00977EC5">
        <w:rPr>
          <w:rFonts w:ascii="Times New Roman" w:hAnsi="Times New Roman"/>
          <w:i/>
          <w:lang w:val="hr-HR"/>
        </w:rPr>
        <w:t>Use</w:t>
      </w:r>
      <w:proofErr w:type="spellEnd"/>
      <w:r w:rsidRPr="00977EC5">
        <w:rPr>
          <w:rFonts w:ascii="Times New Roman" w:hAnsi="Times New Roman"/>
          <w:i/>
          <w:lang w:val="hr-HR"/>
        </w:rPr>
        <w:t xml:space="preserve"> Prevention</w:t>
      </w:r>
      <w:r w:rsidRPr="00CE0191">
        <w:rPr>
          <w:rFonts w:ascii="Times New Roman" w:hAnsi="Times New Roman"/>
          <w:lang w:val="hr-HR"/>
        </w:rPr>
        <w:t xml:space="preserve">. </w:t>
      </w:r>
      <w:proofErr w:type="spellStart"/>
      <w:r w:rsidRPr="00CE0191">
        <w:rPr>
          <w:rFonts w:ascii="Times New Roman" w:hAnsi="Times New Roman"/>
          <w:lang w:val="hr-HR"/>
        </w:rPr>
        <w:t>Wienna</w:t>
      </w:r>
      <w:proofErr w:type="spellEnd"/>
      <w:r w:rsidRPr="00CE0191">
        <w:rPr>
          <w:rFonts w:ascii="Times New Roman" w:hAnsi="Times New Roman"/>
          <w:lang w:val="hr-HR"/>
        </w:rPr>
        <w:t>: UNODC.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C94"/>
    <w:multiLevelType w:val="hybridMultilevel"/>
    <w:tmpl w:val="82C6701C"/>
    <w:lvl w:ilvl="0" w:tplc="4C409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E8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29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4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E2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28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E4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C5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87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9359BC"/>
    <w:multiLevelType w:val="hybridMultilevel"/>
    <w:tmpl w:val="CE4235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4339C"/>
    <w:multiLevelType w:val="hybridMultilevel"/>
    <w:tmpl w:val="3EBAE60A"/>
    <w:lvl w:ilvl="0" w:tplc="959AC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4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03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2F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2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27571B"/>
    <w:multiLevelType w:val="hybridMultilevel"/>
    <w:tmpl w:val="F07C8AFE"/>
    <w:lvl w:ilvl="0" w:tplc="B0E2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C2C8">
      <w:start w:val="10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6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3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4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A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4553D5"/>
    <w:multiLevelType w:val="hybridMultilevel"/>
    <w:tmpl w:val="8DD6EFC2"/>
    <w:lvl w:ilvl="0" w:tplc="7B56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E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62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2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A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8F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9"/>
    <w:rsid w:val="0000158F"/>
    <w:rsid w:val="0000160C"/>
    <w:rsid w:val="00002181"/>
    <w:rsid w:val="00005137"/>
    <w:rsid w:val="00005E3F"/>
    <w:rsid w:val="00006524"/>
    <w:rsid w:val="0001036E"/>
    <w:rsid w:val="000113EC"/>
    <w:rsid w:val="00011C8D"/>
    <w:rsid w:val="000220E1"/>
    <w:rsid w:val="00031F45"/>
    <w:rsid w:val="00032358"/>
    <w:rsid w:val="00035CF2"/>
    <w:rsid w:val="000376C5"/>
    <w:rsid w:val="00043035"/>
    <w:rsid w:val="00044A24"/>
    <w:rsid w:val="000471B8"/>
    <w:rsid w:val="0005443F"/>
    <w:rsid w:val="000605F5"/>
    <w:rsid w:val="00060AE0"/>
    <w:rsid w:val="000622AA"/>
    <w:rsid w:val="000635E0"/>
    <w:rsid w:val="00064A76"/>
    <w:rsid w:val="0008436D"/>
    <w:rsid w:val="00090E9C"/>
    <w:rsid w:val="00090EDF"/>
    <w:rsid w:val="00093988"/>
    <w:rsid w:val="00093E63"/>
    <w:rsid w:val="000A4EFE"/>
    <w:rsid w:val="000B39C7"/>
    <w:rsid w:val="000B671A"/>
    <w:rsid w:val="000B7D7C"/>
    <w:rsid w:val="000C3C77"/>
    <w:rsid w:val="000C3D93"/>
    <w:rsid w:val="000C4219"/>
    <w:rsid w:val="000C7E8B"/>
    <w:rsid w:val="000D0F2D"/>
    <w:rsid w:val="000D7329"/>
    <w:rsid w:val="000E3AD3"/>
    <w:rsid w:val="000E3FA8"/>
    <w:rsid w:val="001006F7"/>
    <w:rsid w:val="00104402"/>
    <w:rsid w:val="001135A3"/>
    <w:rsid w:val="001154FA"/>
    <w:rsid w:val="001244EC"/>
    <w:rsid w:val="00133636"/>
    <w:rsid w:val="00135748"/>
    <w:rsid w:val="001357C1"/>
    <w:rsid w:val="001438EA"/>
    <w:rsid w:val="00144D8B"/>
    <w:rsid w:val="00144FD4"/>
    <w:rsid w:val="00160C19"/>
    <w:rsid w:val="001652A8"/>
    <w:rsid w:val="00167C95"/>
    <w:rsid w:val="00173876"/>
    <w:rsid w:val="00186F77"/>
    <w:rsid w:val="00190DCD"/>
    <w:rsid w:val="001A3F54"/>
    <w:rsid w:val="001A7C12"/>
    <w:rsid w:val="001B09B9"/>
    <w:rsid w:val="001B74DD"/>
    <w:rsid w:val="001C072D"/>
    <w:rsid w:val="001C2F61"/>
    <w:rsid w:val="001C7A01"/>
    <w:rsid w:val="001D04F2"/>
    <w:rsid w:val="001D22C6"/>
    <w:rsid w:val="001D3F75"/>
    <w:rsid w:val="001D772A"/>
    <w:rsid w:val="001E15CE"/>
    <w:rsid w:val="001E32A5"/>
    <w:rsid w:val="001F1356"/>
    <w:rsid w:val="001F1B3E"/>
    <w:rsid w:val="001F7283"/>
    <w:rsid w:val="0020267A"/>
    <w:rsid w:val="00204C33"/>
    <w:rsid w:val="00214C92"/>
    <w:rsid w:val="002254A6"/>
    <w:rsid w:val="002348B8"/>
    <w:rsid w:val="00240048"/>
    <w:rsid w:val="00241641"/>
    <w:rsid w:val="0027359A"/>
    <w:rsid w:val="00274C1D"/>
    <w:rsid w:val="002764FB"/>
    <w:rsid w:val="00282969"/>
    <w:rsid w:val="00296D5A"/>
    <w:rsid w:val="002B02D8"/>
    <w:rsid w:val="002B32F4"/>
    <w:rsid w:val="002B3B3F"/>
    <w:rsid w:val="002B4449"/>
    <w:rsid w:val="002C0F8C"/>
    <w:rsid w:val="002D51E4"/>
    <w:rsid w:val="002E3DD2"/>
    <w:rsid w:val="002E5345"/>
    <w:rsid w:val="002E6F03"/>
    <w:rsid w:val="002F259E"/>
    <w:rsid w:val="00303C46"/>
    <w:rsid w:val="00305382"/>
    <w:rsid w:val="0030731B"/>
    <w:rsid w:val="003144A2"/>
    <w:rsid w:val="00315E60"/>
    <w:rsid w:val="00322D29"/>
    <w:rsid w:val="0032392E"/>
    <w:rsid w:val="00325A5F"/>
    <w:rsid w:val="00330865"/>
    <w:rsid w:val="00334538"/>
    <w:rsid w:val="00344378"/>
    <w:rsid w:val="003552D9"/>
    <w:rsid w:val="0036675D"/>
    <w:rsid w:val="0036771A"/>
    <w:rsid w:val="00371168"/>
    <w:rsid w:val="00374A4B"/>
    <w:rsid w:val="00374C62"/>
    <w:rsid w:val="00380E92"/>
    <w:rsid w:val="00382169"/>
    <w:rsid w:val="00387A1E"/>
    <w:rsid w:val="003B027F"/>
    <w:rsid w:val="003C2A84"/>
    <w:rsid w:val="003E2084"/>
    <w:rsid w:val="003E7BD0"/>
    <w:rsid w:val="004012A6"/>
    <w:rsid w:val="00401B01"/>
    <w:rsid w:val="00402CD0"/>
    <w:rsid w:val="00402F4B"/>
    <w:rsid w:val="0040408F"/>
    <w:rsid w:val="00407A06"/>
    <w:rsid w:val="0041420E"/>
    <w:rsid w:val="00420C7A"/>
    <w:rsid w:val="00421C22"/>
    <w:rsid w:val="00423DFC"/>
    <w:rsid w:val="004349D1"/>
    <w:rsid w:val="0044478B"/>
    <w:rsid w:val="00450D15"/>
    <w:rsid w:val="00451361"/>
    <w:rsid w:val="00453BB1"/>
    <w:rsid w:val="00456190"/>
    <w:rsid w:val="00461C69"/>
    <w:rsid w:val="00463F52"/>
    <w:rsid w:val="004646EE"/>
    <w:rsid w:val="00470F3C"/>
    <w:rsid w:val="004747F1"/>
    <w:rsid w:val="00480D70"/>
    <w:rsid w:val="004877DD"/>
    <w:rsid w:val="004878C0"/>
    <w:rsid w:val="004951A0"/>
    <w:rsid w:val="004A5E4B"/>
    <w:rsid w:val="004C1DCB"/>
    <w:rsid w:val="004C2103"/>
    <w:rsid w:val="004C22A3"/>
    <w:rsid w:val="004C6FE4"/>
    <w:rsid w:val="004D0B9D"/>
    <w:rsid w:val="004D235A"/>
    <w:rsid w:val="004D2F1D"/>
    <w:rsid w:val="004E45BA"/>
    <w:rsid w:val="00500DFA"/>
    <w:rsid w:val="005119C3"/>
    <w:rsid w:val="00533905"/>
    <w:rsid w:val="00540BB7"/>
    <w:rsid w:val="00555533"/>
    <w:rsid w:val="00556334"/>
    <w:rsid w:val="00563CED"/>
    <w:rsid w:val="0056498B"/>
    <w:rsid w:val="005864EA"/>
    <w:rsid w:val="005A034E"/>
    <w:rsid w:val="005A2DB9"/>
    <w:rsid w:val="005A60D9"/>
    <w:rsid w:val="005A696C"/>
    <w:rsid w:val="005B0930"/>
    <w:rsid w:val="005B31E1"/>
    <w:rsid w:val="005B5D77"/>
    <w:rsid w:val="005C10F0"/>
    <w:rsid w:val="005D4F3C"/>
    <w:rsid w:val="005E0DF2"/>
    <w:rsid w:val="005F0F74"/>
    <w:rsid w:val="005F5897"/>
    <w:rsid w:val="0061272E"/>
    <w:rsid w:val="006243D9"/>
    <w:rsid w:val="006410DB"/>
    <w:rsid w:val="00641227"/>
    <w:rsid w:val="00644FC9"/>
    <w:rsid w:val="00650264"/>
    <w:rsid w:val="00660361"/>
    <w:rsid w:val="006644F6"/>
    <w:rsid w:val="00681C06"/>
    <w:rsid w:val="00682B5F"/>
    <w:rsid w:val="006A4243"/>
    <w:rsid w:val="006A7CD9"/>
    <w:rsid w:val="006B1C40"/>
    <w:rsid w:val="006B3F9D"/>
    <w:rsid w:val="006D45E3"/>
    <w:rsid w:val="006D51F7"/>
    <w:rsid w:val="006E7DF5"/>
    <w:rsid w:val="006F33A8"/>
    <w:rsid w:val="00707F1D"/>
    <w:rsid w:val="007133DF"/>
    <w:rsid w:val="00762FF8"/>
    <w:rsid w:val="007659DF"/>
    <w:rsid w:val="007803BD"/>
    <w:rsid w:val="007822BF"/>
    <w:rsid w:val="00782542"/>
    <w:rsid w:val="00786F75"/>
    <w:rsid w:val="00787C2A"/>
    <w:rsid w:val="007A3CE0"/>
    <w:rsid w:val="007A7A8B"/>
    <w:rsid w:val="007C308A"/>
    <w:rsid w:val="007D483F"/>
    <w:rsid w:val="007D66C5"/>
    <w:rsid w:val="007D71DE"/>
    <w:rsid w:val="008069B8"/>
    <w:rsid w:val="00807205"/>
    <w:rsid w:val="008106A8"/>
    <w:rsid w:val="00816D76"/>
    <w:rsid w:val="0082075E"/>
    <w:rsid w:val="00823C77"/>
    <w:rsid w:val="008241F8"/>
    <w:rsid w:val="00832DFA"/>
    <w:rsid w:val="00832E00"/>
    <w:rsid w:val="00842DBC"/>
    <w:rsid w:val="008500A8"/>
    <w:rsid w:val="00856876"/>
    <w:rsid w:val="00874A44"/>
    <w:rsid w:val="00875E5F"/>
    <w:rsid w:val="00877CB9"/>
    <w:rsid w:val="0088630D"/>
    <w:rsid w:val="00887EE3"/>
    <w:rsid w:val="008A3945"/>
    <w:rsid w:val="008A787B"/>
    <w:rsid w:val="008C272D"/>
    <w:rsid w:val="008D3551"/>
    <w:rsid w:val="008D4170"/>
    <w:rsid w:val="008E7222"/>
    <w:rsid w:val="008E7595"/>
    <w:rsid w:val="00910DB5"/>
    <w:rsid w:val="009130F8"/>
    <w:rsid w:val="0092060F"/>
    <w:rsid w:val="009313A3"/>
    <w:rsid w:val="00940A24"/>
    <w:rsid w:val="00951B86"/>
    <w:rsid w:val="00954547"/>
    <w:rsid w:val="00955726"/>
    <w:rsid w:val="009678F8"/>
    <w:rsid w:val="00977EC5"/>
    <w:rsid w:val="00981112"/>
    <w:rsid w:val="00991957"/>
    <w:rsid w:val="009A01BA"/>
    <w:rsid w:val="009A0E67"/>
    <w:rsid w:val="009C3713"/>
    <w:rsid w:val="009C38EF"/>
    <w:rsid w:val="009D40A1"/>
    <w:rsid w:val="00A023E5"/>
    <w:rsid w:val="00A038D5"/>
    <w:rsid w:val="00A03B88"/>
    <w:rsid w:val="00A03DA5"/>
    <w:rsid w:val="00A06F0F"/>
    <w:rsid w:val="00A104DB"/>
    <w:rsid w:val="00A11118"/>
    <w:rsid w:val="00A15DF4"/>
    <w:rsid w:val="00A240FE"/>
    <w:rsid w:val="00A30282"/>
    <w:rsid w:val="00A437F8"/>
    <w:rsid w:val="00A44391"/>
    <w:rsid w:val="00A53203"/>
    <w:rsid w:val="00A54FF2"/>
    <w:rsid w:val="00A6689B"/>
    <w:rsid w:val="00A74652"/>
    <w:rsid w:val="00A75670"/>
    <w:rsid w:val="00A84DCC"/>
    <w:rsid w:val="00AA010E"/>
    <w:rsid w:val="00AA4AAA"/>
    <w:rsid w:val="00AA4EED"/>
    <w:rsid w:val="00AB0F6C"/>
    <w:rsid w:val="00AB13E7"/>
    <w:rsid w:val="00AB2B7E"/>
    <w:rsid w:val="00AC1C07"/>
    <w:rsid w:val="00AD0165"/>
    <w:rsid w:val="00AD7E82"/>
    <w:rsid w:val="00AE5D65"/>
    <w:rsid w:val="00AF0B76"/>
    <w:rsid w:val="00AF0FBF"/>
    <w:rsid w:val="00AF6D35"/>
    <w:rsid w:val="00B04CD2"/>
    <w:rsid w:val="00B07AD9"/>
    <w:rsid w:val="00B11DD9"/>
    <w:rsid w:val="00B16DAC"/>
    <w:rsid w:val="00B20A1A"/>
    <w:rsid w:val="00B24C27"/>
    <w:rsid w:val="00B30A78"/>
    <w:rsid w:val="00B32436"/>
    <w:rsid w:val="00B333B7"/>
    <w:rsid w:val="00B530EF"/>
    <w:rsid w:val="00B67AF2"/>
    <w:rsid w:val="00B75150"/>
    <w:rsid w:val="00B7644B"/>
    <w:rsid w:val="00B8159F"/>
    <w:rsid w:val="00B8219A"/>
    <w:rsid w:val="00B83231"/>
    <w:rsid w:val="00B9246D"/>
    <w:rsid w:val="00B9415C"/>
    <w:rsid w:val="00BA6776"/>
    <w:rsid w:val="00BB09C4"/>
    <w:rsid w:val="00BB1016"/>
    <w:rsid w:val="00BB3D61"/>
    <w:rsid w:val="00BC0B65"/>
    <w:rsid w:val="00BC1FFE"/>
    <w:rsid w:val="00BC3391"/>
    <w:rsid w:val="00BD3F70"/>
    <w:rsid w:val="00BD5A35"/>
    <w:rsid w:val="00BE0272"/>
    <w:rsid w:val="00BE4BFF"/>
    <w:rsid w:val="00BF1314"/>
    <w:rsid w:val="00C01A96"/>
    <w:rsid w:val="00C01AC9"/>
    <w:rsid w:val="00C074B1"/>
    <w:rsid w:val="00C22F11"/>
    <w:rsid w:val="00C2408A"/>
    <w:rsid w:val="00C24EDF"/>
    <w:rsid w:val="00C3518A"/>
    <w:rsid w:val="00C55583"/>
    <w:rsid w:val="00C6415F"/>
    <w:rsid w:val="00C70F9D"/>
    <w:rsid w:val="00C7289F"/>
    <w:rsid w:val="00C82BFB"/>
    <w:rsid w:val="00C83877"/>
    <w:rsid w:val="00C86F1D"/>
    <w:rsid w:val="00CA69FA"/>
    <w:rsid w:val="00CB6EEE"/>
    <w:rsid w:val="00CC0A74"/>
    <w:rsid w:val="00CC2E89"/>
    <w:rsid w:val="00CC3990"/>
    <w:rsid w:val="00CC5641"/>
    <w:rsid w:val="00CC6DB5"/>
    <w:rsid w:val="00CC75F5"/>
    <w:rsid w:val="00CD2ED9"/>
    <w:rsid w:val="00CD3ECC"/>
    <w:rsid w:val="00CE0191"/>
    <w:rsid w:val="00CE4066"/>
    <w:rsid w:val="00CF0B53"/>
    <w:rsid w:val="00CF130D"/>
    <w:rsid w:val="00CF3BF0"/>
    <w:rsid w:val="00D0183B"/>
    <w:rsid w:val="00D05614"/>
    <w:rsid w:val="00D23D1A"/>
    <w:rsid w:val="00D30614"/>
    <w:rsid w:val="00D4360F"/>
    <w:rsid w:val="00D439DB"/>
    <w:rsid w:val="00D502D6"/>
    <w:rsid w:val="00D5478F"/>
    <w:rsid w:val="00D578D5"/>
    <w:rsid w:val="00D705A4"/>
    <w:rsid w:val="00D71A6C"/>
    <w:rsid w:val="00D86B09"/>
    <w:rsid w:val="00D953DB"/>
    <w:rsid w:val="00DA061B"/>
    <w:rsid w:val="00DA2BDA"/>
    <w:rsid w:val="00DA5891"/>
    <w:rsid w:val="00DC5788"/>
    <w:rsid w:val="00DC6790"/>
    <w:rsid w:val="00DD1BD9"/>
    <w:rsid w:val="00DD3B2D"/>
    <w:rsid w:val="00DD4B32"/>
    <w:rsid w:val="00DD559F"/>
    <w:rsid w:val="00DE07F7"/>
    <w:rsid w:val="00DF023C"/>
    <w:rsid w:val="00DF7C18"/>
    <w:rsid w:val="00E032D2"/>
    <w:rsid w:val="00E047DA"/>
    <w:rsid w:val="00E10F60"/>
    <w:rsid w:val="00E157E7"/>
    <w:rsid w:val="00E2773F"/>
    <w:rsid w:val="00E478C8"/>
    <w:rsid w:val="00E50DAC"/>
    <w:rsid w:val="00E52E52"/>
    <w:rsid w:val="00E55F1C"/>
    <w:rsid w:val="00E702EA"/>
    <w:rsid w:val="00E76AF9"/>
    <w:rsid w:val="00E80190"/>
    <w:rsid w:val="00E9333D"/>
    <w:rsid w:val="00E970F4"/>
    <w:rsid w:val="00E97C23"/>
    <w:rsid w:val="00EA35AF"/>
    <w:rsid w:val="00EA3958"/>
    <w:rsid w:val="00EA4E1A"/>
    <w:rsid w:val="00EB56A7"/>
    <w:rsid w:val="00EB7F76"/>
    <w:rsid w:val="00EC320A"/>
    <w:rsid w:val="00EC328E"/>
    <w:rsid w:val="00ED3870"/>
    <w:rsid w:val="00EE487F"/>
    <w:rsid w:val="00F0093F"/>
    <w:rsid w:val="00F13BF8"/>
    <w:rsid w:val="00F147CA"/>
    <w:rsid w:val="00F16301"/>
    <w:rsid w:val="00F17DC5"/>
    <w:rsid w:val="00F35FE1"/>
    <w:rsid w:val="00F428B1"/>
    <w:rsid w:val="00F44EC1"/>
    <w:rsid w:val="00F63906"/>
    <w:rsid w:val="00F66D4A"/>
    <w:rsid w:val="00F83088"/>
    <w:rsid w:val="00F85BC2"/>
    <w:rsid w:val="00F921F7"/>
    <w:rsid w:val="00FA130B"/>
    <w:rsid w:val="00FA2CAC"/>
    <w:rsid w:val="00FB5029"/>
    <w:rsid w:val="00FD2FC8"/>
    <w:rsid w:val="00FD4933"/>
    <w:rsid w:val="00FD5C0C"/>
    <w:rsid w:val="00FE3040"/>
    <w:rsid w:val="00FE45FE"/>
    <w:rsid w:val="00FE6063"/>
    <w:rsid w:val="00FE686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FE45FE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612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1630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F16301"/>
    <w:rPr>
      <w:rFonts w:cs="Times New Roman"/>
      <w:sz w:val="20"/>
      <w:szCs w:val="20"/>
      <w:lang w:val="en-US"/>
    </w:rPr>
  </w:style>
  <w:style w:type="character" w:styleId="Referencafusnote">
    <w:name w:val="footnote reference"/>
    <w:uiPriority w:val="99"/>
    <w:semiHidden/>
    <w:rsid w:val="00F16301"/>
    <w:rPr>
      <w:rFonts w:cs="Times New Roman"/>
      <w:vertAlign w:val="superscript"/>
    </w:rPr>
  </w:style>
  <w:style w:type="paragraph" w:styleId="Odlomakpopisa">
    <w:name w:val="List Paragraph"/>
    <w:basedOn w:val="Normal"/>
    <w:uiPriority w:val="99"/>
    <w:qFormat/>
    <w:rsid w:val="0014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FE45FE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612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1630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F16301"/>
    <w:rPr>
      <w:rFonts w:cs="Times New Roman"/>
      <w:sz w:val="20"/>
      <w:szCs w:val="20"/>
      <w:lang w:val="en-US"/>
    </w:rPr>
  </w:style>
  <w:style w:type="character" w:styleId="Referencafusnote">
    <w:name w:val="footnote reference"/>
    <w:uiPriority w:val="99"/>
    <w:semiHidden/>
    <w:rsid w:val="00F16301"/>
    <w:rPr>
      <w:rFonts w:cs="Times New Roman"/>
      <w:vertAlign w:val="superscript"/>
    </w:rPr>
  </w:style>
  <w:style w:type="paragraph" w:styleId="Odlomakpopisa">
    <w:name w:val="List Paragraph"/>
    <w:basedOn w:val="Normal"/>
    <w:uiPriority w:val="99"/>
    <w:qFormat/>
    <w:rsid w:val="0014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vention-standards.eu/wp-content/uploads/2015/03/EDPQS_Toolkit4_Example_proje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EB11-565A-476C-A528-B1BB0507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Droge_lap</dc:creator>
  <cp:lastModifiedBy>Korisnik1</cp:lastModifiedBy>
  <cp:revision>2</cp:revision>
  <cp:lastPrinted>2015-11-26T14:18:00Z</cp:lastPrinted>
  <dcterms:created xsi:type="dcterms:W3CDTF">2015-11-26T14:57:00Z</dcterms:created>
  <dcterms:modified xsi:type="dcterms:W3CDTF">2015-11-26T14:57:00Z</dcterms:modified>
</cp:coreProperties>
</file>